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+393245979114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+393245979114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marc.mant38@gmail.com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marc.mant38@gmail.com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MNTMRC99B12L840I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MNTMRC99B12L840I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12/02/1999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12/02/1999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Mantovani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Mantovani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delle Caselle, Monticello Conte Otto, VI, Italia Vicenza, VI, Italia 9/3/26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delle Caselle, Monticello Conte Otto, VI, Italia Vicenza, VI, Italia 9/3/26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02/04/2026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