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Duarte  Freire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14/09/2005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+351963631903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15723722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duarte.filipe.freire@gmail.com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1500-164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Rodrigo Freire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02/06/2010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12/04/2026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Duarte Freire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