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Daniele      Pacifici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10/11/2002   numero di telefono:     +393888174573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danielepacifici2016@gmail.com      Indirizzo: Via di Valle Schioia, 224/1d, Anzio,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PCFDNL02S10H501L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Daniele      Pacifici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28/04/2026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