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44 Millettia Street, Rouxville,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+27786761479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kiarafelix381@gmail.com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Kiara</w:t>
      </w:r>
      <w:r>
        <w:rPr>
          <w:rFonts w:ascii="Arial" w:hAnsi="Arial" w:eastAsia="Arial" w:cs="Arial"/>
          <w:sz w:val="24"/>
          <w:szCs w:val="24"/>
          <w:u w:val="single"/>
        </w:rPr>
        <w:t xml:space="preserve"> </w:t>
      </w:r>
      <w:r w:rsidRPr="00592E50">
        <w:rPr>
          <w:rFonts w:ascii="Arial" w:hAnsi="Arial" w:eastAsia="Arial" w:cs="Arial"/>
          <w:sz w:val="24"/>
          <w:szCs w:val="24"/>
          <w:u w:val="single"/>
        </w:rPr>
        <w:t>Felix</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0610100511084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