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Хатидже Медарова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iphoone123@abv.bg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+359892342479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Бели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26.3.2017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Айше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10.7.2023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