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Panfilak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martynaeppel96@gmail.com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+48607878222 ,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Michalina Panfilak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15.04.2022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Martyna Eppel</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20.02.2013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maja Eppel</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09.02.2016</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24.05.2026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