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Malcolm Stringer</w:t>
      </w:r>
    </w:p>
    <w:p w:rsidRPr="002378D9" w:rsidR="00636F2B" w:rsidP="00636F2B" w:rsidRDefault="00425696" w14:paraId="09AFCD47" w14:textId="72B37017">
      <w:r w:rsidRPr="002378D9">
        <w:t xml:space="preserve">Address: </w:t>
      </w:r>
      <w:r w:rsidRPr="002378D9" w:rsidR="00636F2B">
        <w:t>unit 1/77 Hailes Street Greensborough 3088</w:t>
      </w:r>
    </w:p>
    <w:p w:rsidRPr="002378D9" w:rsidR="00636F2B" w:rsidP="00636F2B" w:rsidRDefault="00425696" w14:paraId="11D17EA6" w14:textId="551720AB">
      <w:r w:rsidRPr="002378D9">
        <w:t xml:space="preserve">Phone: </w:t>
      </w:r>
      <w:r w:rsidRPr="002378D9" w:rsidR="00636F2B">
        <w:t>+610401094704</w:t>
      </w:r>
    </w:p>
    <w:p w:rsidRPr="002378D9" w:rsidR="00636F2B" w:rsidP="00636F2B" w:rsidRDefault="00425696" w14:paraId="263A7D34" w14:textId="284D449B">
      <w:r w:rsidRPr="002378D9">
        <w:t xml:space="preserve">Email: </w:t>
      </w:r>
      <w:r w:rsidRPr="002378D9" w:rsidR="00636F2B">
        <w:t>malcolm_stringer@yahoo.com.au</w:t>
      </w:r>
    </w:p>
    <w:p w:rsidRPr="002378D9" w:rsidR="00636F2B" w:rsidP="00636F2B" w:rsidRDefault="00425696" w14:paraId="22E4FE1E" w14:textId="10F05D33">
      <w:r w:rsidRPr="002378D9">
        <w:t xml:space="preserve">Date of birth: </w:t>
      </w:r>
      <w:r w:rsidRPr="002378D9" w:rsidR="00636F2B">
        <w:t>14/06/1980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Malcolm Stringer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Lily Stringer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