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Маргарита Великова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maggie.velikova@abv.bg , Телефон : +359889233929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3.5.2026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3.5.2026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