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bolewska89@gmail.com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+48695662589 ,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Bolewska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Olivier Traczyk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26.09.2014</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Filip Bolewski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21.10.2014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Kacper Balcerek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18.11.2014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