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Kądziela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kadzielamusic@gmail.com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+48510668676 ,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Kądziela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Jadwiga Kądziela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10.09.2022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Cecylia Kądziela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Helena Kądziela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23.10.2019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