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Vamvadelis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8403145213086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