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Allam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youssefallam488@icloud.com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+201000242424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04/08/1996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27839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El gouna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My mom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+2001229183131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