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Ambrus Esztike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14.05.2026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Ambrus Árvácska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10.09.2016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