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Sutluoglu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furkansutluoglu@gmail.com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+905467300612 ,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Ania Bełdzińska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31.08.2010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Marta Jerzak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12.08.2008</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Patrycja Sagalara</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26.10.2009</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25.05.2026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