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Gładysz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mongla@vp.pl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+48691953110 ,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Gładysz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Gabrysia Przytulska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