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Йоана Георгиева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Milena Lisichkova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121483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29.11.2026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Йоана Георгиева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Milena Lisichkova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121483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29.11.2026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