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Luís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Ferreira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29.3.2008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+351928370361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lf5253550@gmail.com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31.5.2026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