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Szenfeld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nszenfeld@gmail.com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+48796304341 ,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Szenfld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Róża Rozmaryn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28.06.2015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Mikołaj Szenfeld</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15.03.2021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