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Габриела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Кючукова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15.9.1994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+359893862970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gabestbg@gmail.com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Андрей Кючуков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5.6.2022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