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Hussein</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Azzam</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husseinazzamm@gmail.com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+201004352222</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27/06/1999</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29906270103837</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El Gouna, Hurghada, Egypt El Gouna, Hurghada,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El Gouna, Hurghada,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Gigo</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+201055552495</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02/05/2026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