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Benjamin Lyneham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