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Sójka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sebastian.sojka12@gmail.com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+48790695588 ,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Mikołaj Jatczak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17.07.2016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Antoni Drzewiecki</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10.05.2016</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Stanisław Wiankowski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18.02.2018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Szymon Rubinkowski</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06.05.2015</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Jan Wiankowski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06.09.2019</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Ignacy Grzelak</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26.06.2015</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