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+359898564393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ttfedd@abv.bg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Илияна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17.3.2009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Лъчезар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17.6.2012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