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Mafalda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Marques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06/07/1996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+351967472890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mafalda.rsm@gmail.com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