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Valdas Junevičius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