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Matthew Barr</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Kierath Panesar</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07/05/2026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