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Kevin O’shannassy</w:t>
      </w:r>
    </w:p>
    <w:p w:rsidRPr="006C72AA" w:rsidR="00636F2B" w:rsidP="00636F2B" w:rsidRDefault="00425696" w14:paraId="09AFCD47" w14:textId="72B37017">
      <w:r w:rsidRPr="006C72AA">
        <w:t xml:space="preserve">Address: </w:t>
      </w:r>
      <w:r w:rsidRPr="006C72AA" w:rsidR="00636F2B">
        <w:t>23 Winifred st  Melbourne  3044</w:t>
      </w:r>
    </w:p>
    <w:p w:rsidRPr="006C72AA" w:rsidR="00636F2B" w:rsidP="00636F2B" w:rsidRDefault="00425696" w14:paraId="11D17EA6" w14:textId="551720AB">
      <w:r w:rsidRPr="006C72AA">
        <w:t xml:space="preserve">Phone: </w:t>
      </w:r>
      <w:r w:rsidRPr="006C72AA" w:rsidR="00636F2B">
        <w:t>+61466156585</w:t>
      </w:r>
    </w:p>
    <w:p w:rsidRPr="006C72AA" w:rsidR="00636F2B" w:rsidP="00636F2B" w:rsidRDefault="00425696" w14:paraId="263A7D34" w14:textId="284D449B">
      <w:r w:rsidRPr="006C72AA">
        <w:t xml:space="preserve">Email: </w:t>
      </w:r>
      <w:r w:rsidRPr="006C72AA" w:rsidR="00636F2B">
        <w:t>kevinoshannassy@gmail.com</w:t>
      </w:r>
    </w:p>
    <w:p w:rsidRPr="006C72AA" w:rsidR="00636F2B" w:rsidP="00636F2B" w:rsidRDefault="00425696" w14:paraId="22E4FE1E" w14:textId="10F05D33">
      <w:r w:rsidRPr="006C72AA">
        <w:t xml:space="preserve">Date of birth: </w:t>
      </w:r>
      <w:r w:rsidRPr="006C72AA" w:rsidR="00636F2B">
        <w:t>14/04/1989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Kevin O’shannassy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