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Александра Кардашева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24.4.2005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a.kardasheva@abv.bg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+359889524360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Гоце Делчев улица Рила 15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