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Петя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19.9.1986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+359876533488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petq_georgieva8629@abv.bg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Самуил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Деян Краиков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10.6.2008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