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Kosatka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dawid.kosatka@gmail.com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+48781657426 ,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Victoria Kosatka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Chylinska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Neyla Chylinska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15.08.2022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