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Kaźmierski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robert.kazmierski97@gmail.com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+48500404557 ,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subdzia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Oliwier bajkowski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07.01.2016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 beagle-król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26.04.2018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Natalka uznańska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16.12.2014</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Oskar bajkowski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16.08.2014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Maja swendrak</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16.09.2014</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