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Renato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Caniglia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Pietra Ligure, SV, Italia Alassio, SV,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Alassio, SV,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11/05/1998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+393346134486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renatocaniglia@gmail.com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22/06/2026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22/06/2026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22/06/2026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