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Wąsikowski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przemyslaw.wasikowski@go2.pl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+48501712813 ,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Daniel Cieślak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07.02.2020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Maciej Chrapunów</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12.05.2018</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Adam Cieślak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27.08.2016</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Alex Cieślak</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17.10.2014</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