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2026-06-13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Goda Žemaitaitytė</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