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+359879400961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katq.marinova96@abv.bg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Мирослав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Петър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