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Skibiński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ksc.skiba@interia.pl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+48506528215 ,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Lucyna Sudra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