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Miroszewska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patrycjapiw@wp.pl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+48530905511 ,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Liwia miroszewska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06.07.2022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Aleksy Miroszewski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02.05.2019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