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Węgrzynek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ola.wegrzynek@onet.pl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+48539266838 ,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Adrianna Rybarkiewicz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05.05.2015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Mają Góralczyk</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04.08.2015</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Zofia Woźniak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15.05.2014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Roma Kubiak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08.08.2018</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