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Валентин Маринов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