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Lemiszewski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l.lemiszewski@wp.pl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+48502983917 ,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Lemiszewski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Lemiszewski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Bruno Nowak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11.08.2016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