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Szyjkowski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pawszyk@wp.pl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+48501271003 ,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Gabriela Kokocińska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22.05.2012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Antoni Leszczyński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22.10.2011</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Hanna Jędruch</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28.04.2011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Maciej Tomicki</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08.06.2012</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Joachim Prociów</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27.07.2011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Piotr Chmurzyński</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22.06.2011</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