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Węgrzynek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ola.wegrzynek@onet.pl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+48539266838 ,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Jan Bocheński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22.09.2014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Łucja Gorąca</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03.03.2019</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Magdalena Witczak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05.05.2015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Ida Chrzanowska</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09.11.2018</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Leon Gorący</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26.11.2013</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Oliwia Ratajczyk</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05.08.2016</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18.06.2026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