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Staciukowicz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staciuk@gaZETA.PL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+48696261573 ,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Kazimierz</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29.09.2016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Nikodem</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14.02.2016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