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Statkiewicz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jakub.statkiewicz@gmail.com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+48660947137 ,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 Bogus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10.06.2020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Bruno Bogus</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01.05.2022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