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Claudia Maria</w:t>
            </w:r>
            <w:r>
              <w:rPr>
                <w:lang w:val="it-IT"/>
              </w:rPr>
              <w:t xml:space="preserve">  </w:t>
            </w:r>
            <w:r w:rsidRPr="004D2665">
              <w:rPr>
                <w:lang w:val="it-IT"/>
              </w:rPr>
              <w:t>Redaelli</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Lecco</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02/03/1991</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Lecco</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Lecco</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+393408046563</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claudia.redaelli@hotmail.com</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RDLCDM91C42E507C</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25/06/2026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25/06/2026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Claudia Maria Redaelli</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