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Grzegorczyk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igor.grzegorczyk@tlen.pl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+48698422217 ,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Grzegorczyk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