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MIREN UHARTE HUERTAS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44618969g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Olivia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12/2/2017</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Oier</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22/11/2013</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MIREN UHARTE HUERTAS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