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Diego</w:t>
      </w:r>
      <w:r>
        <w:rPr>
          <w:u w:val="single"/>
        </w:rPr>
        <w:t xml:space="preserve"> </w:t>
      </w:r>
      <w:r w:rsidRPr="009E5F62">
        <w:rPr>
          <w:u w:val="single"/>
        </w:rPr>
        <w:t>Mediavilla Treceño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71640232Q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Guillermo Mediavilla Freije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21/09/2013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25/06/2026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Diego Mediavilla Treceño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71640232Q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