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Lubomir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Tzenev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+359885826647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lyoubo@gmail.com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Melina Tzeneva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