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Elena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Yela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+34629693996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47877866p</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ygelena@hotmal.com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Barcelona, España</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08006</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Marta Yela</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+34645388145</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01/07/2026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Elena Yela</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